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7214" w14:textId="77777777" w:rsidR="00A42D07" w:rsidRDefault="00A42D07" w:rsidP="006E1D8E">
      <w:pPr>
        <w:pStyle w:val="BodyText"/>
        <w:rPr>
          <w:sz w:val="28"/>
          <w:szCs w:val="28"/>
          <w:lang w:val="es-ES_tradnl"/>
        </w:rPr>
      </w:pPr>
    </w:p>
    <w:p w14:paraId="609C1CAF" w14:textId="27249434"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467861">
        <w:rPr>
          <w:sz w:val="28"/>
          <w:szCs w:val="28"/>
          <w:lang w:val="es-ES_tradnl"/>
        </w:rPr>
        <w:t>CICIC</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Pr>
          <w:sz w:val="18"/>
          <w:szCs w:val="18"/>
          <w:lang w:val="es-ES_tradnl"/>
        </w:rPr>
        <w:t xml:space="preserve">A </w:t>
      </w:r>
      <w:proofErr w:type="spellStart"/>
      <w:r>
        <w:rPr>
          <w:sz w:val="18"/>
          <w:szCs w:val="18"/>
          <w:lang w:val="es-ES_tradnl"/>
        </w:rPr>
        <w:t>continuaci</w:t>
      </w:r>
      <w:r>
        <w:rPr>
          <w:sz w:val="18"/>
          <w:szCs w:val="18"/>
          <w:lang w:val="es-ES"/>
        </w:rPr>
        <w:t>ón</w:t>
      </w:r>
      <w:proofErr w:type="spellEnd"/>
      <w:r>
        <w:rPr>
          <w:sz w:val="18"/>
          <w:szCs w:val="18"/>
          <w:lang w:val="es-ES"/>
        </w:rPr>
        <w:t xml:space="preserve"> del Resumen y Palabras Claves, deben incluirse en inglés</w:t>
      </w:r>
      <w:r w:rsidR="00EE2E49">
        <w:rPr>
          <w:sz w:val="18"/>
          <w:szCs w:val="18"/>
          <w:lang w:val="es-ES"/>
        </w:rPr>
        <w:t xml:space="preserve"> y en itálica</w:t>
      </w:r>
      <w:r>
        <w:rPr>
          <w:sz w:val="18"/>
          <w:szCs w:val="18"/>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7777777" w:rsidR="000047FC" w:rsidRPr="008A4AC9" w:rsidRDefault="000047FC" w:rsidP="000047FC">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w:t>
      </w:r>
      <w:proofErr w:type="gramStart"/>
      <w:r w:rsidRPr="008A4AC9">
        <w:rPr>
          <w:i/>
          <w:iCs/>
          <w:sz w:val="18"/>
          <w:szCs w:val="18"/>
          <w:lang w:val="es-ES"/>
        </w:rPr>
        <w:t>Inglés</w:t>
      </w:r>
      <w:proofErr w:type="gramEnd"/>
      <w:r w:rsidRPr="008A4AC9">
        <w:rPr>
          <w:i/>
          <w:iCs/>
          <w:sz w:val="18"/>
          <w:szCs w:val="18"/>
          <w:lang w:val="es-ES"/>
        </w:rPr>
        <w:t xml:space="preserve"> (Centrado, en itálica y en negrilla. El tamaño de Font ha de ser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 xml:space="preserve">El documento que usted está leyendo ahora, ha sido elaborado </w:t>
      </w:r>
      <w:proofErr w:type="gramStart"/>
      <w:r w:rsidR="000E1965" w:rsidRPr="000031DB">
        <w:rPr>
          <w:snapToGrid w:val="0"/>
          <w:color w:val="000000"/>
          <w:sz w:val="18"/>
          <w:lang w:val="es-ES_tradnl"/>
        </w:rPr>
        <w:t>de acuerdo al</w:t>
      </w:r>
      <w:proofErr w:type="gramEnd"/>
      <w:r w:rsidR="000E1965" w:rsidRPr="000031DB">
        <w:rPr>
          <w:snapToGrid w:val="0"/>
          <w:color w:val="000000"/>
          <w:sz w:val="18"/>
          <w:lang w:val="es-ES_tradnl"/>
        </w:rPr>
        <w:t xml:space="preserve">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w:t>
      </w:r>
      <w:proofErr w:type="gramStart"/>
      <w:r w:rsidR="000B3E5E" w:rsidRPr="00267129">
        <w:rPr>
          <w:rFonts w:ascii="Times New Roman" w:hAnsi="Times New Roman" w:cs="Times New Roman"/>
          <w:sz w:val="18"/>
          <w:szCs w:val="18"/>
          <w:lang w:val="es-ES_tradnl"/>
        </w:rPr>
        <w:t>11”  /</w:t>
      </w:r>
      <w:proofErr w:type="gramEnd"/>
      <w:r w:rsidR="000B3E5E" w:rsidRPr="00267129">
        <w:rPr>
          <w:rFonts w:ascii="Times New Roman" w:hAnsi="Times New Roman" w:cs="Times New Roman"/>
          <w:sz w:val="18"/>
          <w:szCs w:val="18"/>
          <w:lang w:val="es-ES_tradnl"/>
        </w:rPr>
        <w:t xml:space="preserve">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w:t>
      </w:r>
      <w:proofErr w:type="gramStart"/>
      <w:r w:rsidRPr="000031DB">
        <w:rPr>
          <w:snapToGrid w:val="0"/>
          <w:color w:val="000000"/>
          <w:sz w:val="18"/>
          <w:lang w:val="es-ES_tradnl"/>
        </w:rPr>
        <w:t xml:space="preserve">Algunos </w:t>
      </w:r>
      <w:r w:rsidRPr="000031DB">
        <w:rPr>
          <w:i/>
          <w:snapToGrid w:val="0"/>
          <w:color w:val="000000"/>
          <w:sz w:val="18"/>
          <w:lang w:val="es-ES_tradnl"/>
        </w:rPr>
        <w:t>software</w:t>
      </w:r>
      <w:proofErr w:type="gramEnd"/>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Enumere todas las referencias bibliográficas y coloque una lista de </w:t>
      </w:r>
      <w:proofErr w:type="gramStart"/>
      <w:r w:rsidRPr="000031DB">
        <w:rPr>
          <w:snapToGrid w:val="0"/>
          <w:color w:val="000000"/>
          <w:sz w:val="18"/>
          <w:szCs w:val="18"/>
          <w:lang w:val="es-ES_tradnl"/>
        </w:rPr>
        <w:t>las mismas</w:t>
      </w:r>
      <w:proofErr w:type="gramEnd"/>
      <w:r w:rsidRPr="000031DB">
        <w:rPr>
          <w:snapToGrid w:val="0"/>
          <w:color w:val="000000"/>
          <w:sz w:val="18"/>
          <w:szCs w:val="18"/>
          <w:lang w:val="es-ES_tradnl"/>
        </w:rPr>
        <w:t xml:space="preserve">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proofErr w:type="gramStart"/>
      <w:r w:rsidRPr="009758FF">
        <w:rPr>
          <w:snapToGrid w:val="0"/>
          <w:color w:val="000000"/>
          <w:sz w:val="18"/>
          <w:szCs w:val="18"/>
        </w:rPr>
        <w:t>]</w:t>
      </w:r>
      <w:r w:rsidRPr="009758FF">
        <w:rPr>
          <w:snapToGrid w:val="0"/>
          <w:color w:val="000000"/>
          <w:sz w:val="18"/>
          <w:szCs w:val="18"/>
        </w:rPr>
        <w:tab/>
        <w:t xml:space="preserve"> J</w:t>
      </w:r>
      <w:proofErr w:type="gramEnd"/>
      <w:r w:rsidRPr="009758FF">
        <w:rPr>
          <w:snapToGrid w:val="0"/>
          <w:color w:val="000000"/>
          <w:sz w:val="18"/>
          <w:szCs w:val="18"/>
        </w:rPr>
        <w:t>.  Ivari, "A   Paradigmatic   Analysis    of    Contemporary Schools   of    IS   Development</w:t>
      </w:r>
      <w:proofErr w:type="gramStart"/>
      <w:r w:rsidRPr="009758FF">
        <w:rPr>
          <w:snapToGrid w:val="0"/>
          <w:color w:val="000000"/>
          <w:sz w:val="18"/>
          <w:szCs w:val="18"/>
        </w:rPr>
        <w:t xml:space="preserve">",   </w:t>
      </w:r>
      <w:proofErr w:type="gramEnd"/>
      <w:r w:rsidRPr="009758FF">
        <w:rPr>
          <w:snapToGrid w:val="0"/>
          <w:color w:val="000000"/>
          <w:sz w:val="18"/>
          <w:szCs w:val="18"/>
        </w:rPr>
        <w:t>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90E80"/>
    <w:rsid w:val="001E5248"/>
    <w:rsid w:val="002151AF"/>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A5FF8"/>
    <w:rsid w:val="006B3FCC"/>
    <w:rsid w:val="006E1D8E"/>
    <w:rsid w:val="006F548D"/>
    <w:rsid w:val="00700D05"/>
    <w:rsid w:val="007430F8"/>
    <w:rsid w:val="00744689"/>
    <w:rsid w:val="00744AE8"/>
    <w:rsid w:val="007644F2"/>
    <w:rsid w:val="00770C3F"/>
    <w:rsid w:val="00770FE6"/>
    <w:rsid w:val="00772364"/>
    <w:rsid w:val="00780BDD"/>
    <w:rsid w:val="007A37C2"/>
    <w:rsid w:val="007C0D4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762E"/>
    <w:rsid w:val="00AD5558"/>
    <w:rsid w:val="00AE3A65"/>
    <w:rsid w:val="00B0170F"/>
    <w:rsid w:val="00B51784"/>
    <w:rsid w:val="00B5709A"/>
    <w:rsid w:val="00B7719F"/>
    <w:rsid w:val="00B77542"/>
    <w:rsid w:val="00B778A1"/>
    <w:rsid w:val="00B86C64"/>
    <w:rsid w:val="00B95DCC"/>
    <w:rsid w:val="00BA4566"/>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61</cp:revision>
  <cp:lastPrinted>2013-01-25T14:57:00Z</cp:lastPrinted>
  <dcterms:created xsi:type="dcterms:W3CDTF">2018-11-03T18:06:00Z</dcterms:created>
  <dcterms:modified xsi:type="dcterms:W3CDTF">2024-11-04T00:03:00Z</dcterms:modified>
</cp:coreProperties>
</file>